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EB" w:rsidRDefault="00D27D90">
      <w:hyperlink r:id="rId4" w:history="1">
        <w:r w:rsidRPr="00DF487E">
          <w:rPr>
            <w:rStyle w:val="a3"/>
          </w:rPr>
          <w:t>https://down.ctege.info/ege/2022/doc/ege2022blanki-pravila.pdf</w:t>
        </w:r>
      </w:hyperlink>
    </w:p>
    <w:p w:rsidR="00D27D90" w:rsidRDefault="00D27D90">
      <w:bookmarkStart w:id="0" w:name="_GoBack"/>
      <w:bookmarkEnd w:id="0"/>
    </w:p>
    <w:sectPr w:rsidR="00D2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B3"/>
    <w:rsid w:val="001F44EB"/>
    <w:rsid w:val="00B774B3"/>
    <w:rsid w:val="00D2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C7C6"/>
  <w15:chartTrackingRefBased/>
  <w15:docId w15:val="{DF38D6EB-5EAF-46AC-A70A-2C3D3FFD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wn.ctege.info/ege/2022/doc/ege2022blanki-pravil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2022-12-15T16:48:00Z</dcterms:created>
  <dcterms:modified xsi:type="dcterms:W3CDTF">2022-12-15T16:48:00Z</dcterms:modified>
</cp:coreProperties>
</file>